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Default="00AE5079" w:rsidP="00A82282">
      <w:pPr>
        <w:ind w:right="-284"/>
        <w:jc w:val="right"/>
        <w:rPr>
          <w:rFonts w:ascii="PT Astra Serif" w:hAnsi="PT Astra Serif"/>
          <w:color w:val="000000"/>
        </w:rPr>
      </w:pPr>
      <w:bookmarkStart w:id="0" w:name="_GoBack"/>
      <w:bookmarkEnd w:id="0"/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1;visibility:visible" filled="t">
            <v:imagedata r:id="rId9" o:title=""/>
          </v:shape>
        </w:pict>
      </w:r>
      <w:r w:rsidR="003C77C4" w:rsidRPr="00E14FD7">
        <w:rPr>
          <w:rFonts w:ascii="PT Astra Serif" w:hAnsi="PT Astra Serif"/>
          <w:color w:val="000000"/>
        </w:rPr>
        <w:t xml:space="preserve">                      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14FD7">
        <w:rPr>
          <w:rFonts w:ascii="PT Astra Serif" w:hAnsi="PT Astra Serif"/>
          <w:color w:val="000000"/>
          <w:sz w:val="28"/>
          <w:szCs w:val="28"/>
        </w:rPr>
        <w:t>Ханты-Мансийского  автономного 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25 ноября 2025 года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>№ 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>77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8A7120" w:rsidRPr="00A82282" w:rsidRDefault="005150FD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прогнозного</w:t>
      </w:r>
    </w:p>
    <w:p w:rsidR="00CF69D8" w:rsidRPr="00A82282" w:rsidRDefault="008A7120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A82282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A82282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Положением о приватизации муниципального имущества города 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</w:p>
    <w:p w:rsidR="00031E7E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031E7E" w:rsidRPr="00A82282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031E7E" w:rsidRDefault="00031E7E" w:rsidP="00A82282">
      <w:pPr>
        <w:pStyle w:val="aa"/>
        <w:spacing w:after="0"/>
        <w:ind w:left="0" w:firstLine="54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A82282" w:rsidRPr="00A82282" w:rsidRDefault="00A82282" w:rsidP="00A82282">
      <w:pPr>
        <w:pStyle w:val="aa"/>
        <w:spacing w:after="0"/>
        <w:ind w:left="0" w:firstLine="54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31E7E" w:rsidRPr="00A82282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Утвердить 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прогнозный план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программу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  <w:lang w:eastAsia="ru-RU"/>
        </w:rPr>
        <w:t>(далее – программа приватизации)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образования городской округ Югорск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 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B491F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(приложение).</w:t>
      </w:r>
    </w:p>
    <w:p w:rsidR="007731EB" w:rsidRPr="00A82282" w:rsidRDefault="00794E5D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BA401D" w:rsidRPr="00A82282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 xml:space="preserve">Настоящее решение вступает в силу с </w:t>
      </w:r>
      <w:r w:rsidR="002302E9" w:rsidRPr="00A82282">
        <w:rPr>
          <w:rFonts w:ascii="PT Astra Serif" w:hAnsi="PT Astra Serif"/>
          <w:color w:val="000000"/>
          <w:kern w:val="1"/>
          <w:sz w:val="26"/>
          <w:szCs w:val="26"/>
        </w:rPr>
        <w:t>0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1</w:t>
      </w:r>
      <w:r w:rsidR="002302E9" w:rsidRPr="00A82282">
        <w:rPr>
          <w:rFonts w:ascii="PT Astra Serif" w:hAnsi="PT Astra Serif"/>
          <w:color w:val="000000"/>
          <w:kern w:val="1"/>
          <w:sz w:val="26"/>
          <w:szCs w:val="26"/>
        </w:rPr>
        <w:t>.01.202</w:t>
      </w:r>
      <w:r w:rsidR="00C65572">
        <w:rPr>
          <w:rFonts w:ascii="PT Astra Serif" w:hAnsi="PT Astra Serif"/>
          <w:color w:val="000000"/>
          <w:kern w:val="1"/>
          <w:sz w:val="26"/>
          <w:szCs w:val="26"/>
        </w:rPr>
        <w:t>6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, действует по 31</w:t>
      </w:r>
      <w:r w:rsidR="00047CD0" w:rsidRPr="00A82282">
        <w:rPr>
          <w:rFonts w:ascii="PT Astra Serif" w:hAnsi="PT Astra Serif"/>
          <w:color w:val="000000"/>
          <w:kern w:val="1"/>
          <w:sz w:val="26"/>
          <w:szCs w:val="26"/>
        </w:rPr>
        <w:t>.12.202</w:t>
      </w:r>
      <w:r w:rsidR="00C65572">
        <w:rPr>
          <w:rFonts w:ascii="PT Astra Serif" w:hAnsi="PT Astra Serif"/>
          <w:color w:val="000000"/>
          <w:kern w:val="1"/>
          <w:sz w:val="26"/>
          <w:szCs w:val="26"/>
        </w:rPr>
        <w:t>6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.</w:t>
      </w:r>
    </w:p>
    <w:p w:rsidR="00074322" w:rsidRDefault="0007432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D535F" w:rsidRPr="00A82282" w:rsidRDefault="002D535F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D2563E" w:rsidRPr="00A82282" w:rsidRDefault="00D2563E" w:rsidP="00A82282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Е.Б. Комисаренко</w:t>
      </w:r>
    </w:p>
    <w:p w:rsidR="00794E5D" w:rsidRPr="00A82282" w:rsidRDefault="00794E5D" w:rsidP="00A82282">
      <w:pPr>
        <w:jc w:val="both"/>
        <w:rPr>
          <w:rFonts w:ascii="PT Astra Serif" w:hAnsi="PT Astra Serif"/>
          <w:color w:val="000000"/>
          <w:sz w:val="26"/>
          <w:szCs w:val="26"/>
        </w:rPr>
      </w:pPr>
    </w:p>
    <w:p w:rsidR="00794E5D" w:rsidRPr="00A82282" w:rsidRDefault="00794E5D" w:rsidP="00A82282">
      <w:pPr>
        <w:pStyle w:val="af"/>
        <w:rPr>
          <w:rFonts w:ascii="PT Astra Serif" w:hAnsi="PT Astra Serif"/>
          <w:color w:val="000000"/>
          <w:sz w:val="26"/>
          <w:szCs w:val="26"/>
        </w:rPr>
      </w:pPr>
    </w:p>
    <w:p w:rsidR="00A82282" w:rsidRDefault="00A82282" w:rsidP="00A82282">
      <w:pPr>
        <w:jc w:val="right"/>
        <w:rPr>
          <w:rFonts w:ascii="PT Astra Serif" w:hAnsi="PT Astra Serif"/>
          <w:b/>
          <w:sz w:val="26"/>
          <w:szCs w:val="26"/>
        </w:rPr>
      </w:pPr>
    </w:p>
    <w:p w:rsidR="00A82282" w:rsidRDefault="00A82282" w:rsidP="00A82282">
      <w:pPr>
        <w:jc w:val="right"/>
        <w:rPr>
          <w:rFonts w:ascii="PT Astra Serif" w:hAnsi="PT Astra Serif"/>
          <w:b/>
          <w:sz w:val="26"/>
          <w:szCs w:val="26"/>
        </w:rPr>
      </w:pPr>
    </w:p>
    <w:p w:rsid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</w:p>
    <w:p w:rsidR="00A82282" w:rsidRPr="00A82282" w:rsidRDefault="0019249A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«25» ноября 2025 года</w:t>
      </w:r>
    </w:p>
    <w:p w:rsidR="00A82282" w:rsidRPr="00A82282" w:rsidRDefault="00A82282" w:rsidP="00A82282">
      <w:pPr>
        <w:tabs>
          <w:tab w:val="left" w:pos="936"/>
        </w:tabs>
        <w:jc w:val="both"/>
        <w:rPr>
          <w:rFonts w:ascii="PT Astra Serif" w:hAnsi="PT Astra Serif"/>
          <w:sz w:val="24"/>
          <w:szCs w:val="24"/>
        </w:rPr>
      </w:pPr>
      <w:r w:rsidRPr="00A82282">
        <w:rPr>
          <w:rFonts w:ascii="PT Astra Serif" w:hAnsi="PT Astra Serif"/>
          <w:b/>
          <w:bCs/>
          <w:sz w:val="24"/>
          <w:szCs w:val="24"/>
        </w:rPr>
        <w:t>(дата подписания)</w:t>
      </w:r>
    </w:p>
    <w:p w:rsidR="00A12006" w:rsidRP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lastRenderedPageBreak/>
        <w:t>П</w:t>
      </w:r>
      <w:r w:rsidR="00A12006" w:rsidRPr="00A82282">
        <w:rPr>
          <w:rFonts w:ascii="PT Astra Serif" w:hAnsi="PT Astra Serif"/>
          <w:b/>
          <w:sz w:val="26"/>
          <w:szCs w:val="26"/>
        </w:rPr>
        <w:t>риложение</w:t>
      </w:r>
    </w:p>
    <w:p w:rsidR="00A12006" w:rsidRPr="00A82282" w:rsidRDefault="00A12006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A12006" w:rsidRPr="00A82282" w:rsidRDefault="0098569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 xml:space="preserve">от </w:t>
      </w:r>
      <w:r w:rsidR="0019249A">
        <w:rPr>
          <w:rFonts w:ascii="PT Astra Serif" w:hAnsi="PT Astra Serif"/>
          <w:b/>
          <w:sz w:val="26"/>
          <w:szCs w:val="26"/>
        </w:rPr>
        <w:t>25 ноября 2025 года № 77</w:t>
      </w:r>
    </w:p>
    <w:p w:rsidR="004E3ECD" w:rsidRDefault="004E3ECD" w:rsidP="00275AA9">
      <w:pPr>
        <w:rPr>
          <w:rFonts w:ascii="PT Astra Serif" w:hAnsi="PT Astra Serif"/>
          <w:b/>
          <w:sz w:val="26"/>
          <w:szCs w:val="26"/>
        </w:rPr>
      </w:pPr>
    </w:p>
    <w:p w:rsidR="00287694" w:rsidRPr="00A82282" w:rsidRDefault="00287694" w:rsidP="00275AA9">
      <w:pPr>
        <w:rPr>
          <w:rFonts w:ascii="PT Astra Serif" w:hAnsi="PT Astra Serif"/>
          <w:b/>
          <w:sz w:val="26"/>
          <w:szCs w:val="26"/>
        </w:rPr>
      </w:pPr>
    </w:p>
    <w:p w:rsidR="00873A80" w:rsidRPr="0013337A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 xml:space="preserve">Прогнозный план (программа) приватизации </w:t>
      </w:r>
    </w:p>
    <w:p w:rsidR="00873A80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муниципального имущества на 202</w:t>
      </w:r>
      <w:r w:rsidR="00A45264" w:rsidRPr="0013337A">
        <w:rPr>
          <w:rFonts w:ascii="PT Astra Serif" w:hAnsi="PT Astra Serif"/>
          <w:b/>
          <w:sz w:val="26"/>
          <w:szCs w:val="26"/>
        </w:rPr>
        <w:t>6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010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 плановый период 2027 – 2028 годов</w:t>
      </w:r>
    </w:p>
    <w:p w:rsidR="00170104" w:rsidRPr="0013337A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70104">
        <w:rPr>
          <w:rFonts w:ascii="PT Astra Serif" w:hAnsi="PT Astra Serif"/>
          <w:b/>
          <w:sz w:val="26"/>
          <w:szCs w:val="26"/>
        </w:rPr>
        <w:t>2026 год</w:t>
      </w:r>
    </w:p>
    <w:p w:rsidR="0019249A" w:rsidRPr="00170104" w:rsidRDefault="0019249A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Pr="00CA5C7D" w:rsidRDefault="00873A80" w:rsidP="00287694">
      <w:pPr>
        <w:ind w:hanging="142"/>
        <w:rPr>
          <w:rFonts w:ascii="PT Astra Serif" w:hAnsi="PT Astra Serif"/>
          <w:sz w:val="26"/>
          <w:szCs w:val="26"/>
        </w:rPr>
      </w:pPr>
      <w:r w:rsidRPr="00FC66B9">
        <w:rPr>
          <w:rFonts w:ascii="PT Astra Serif" w:hAnsi="PT Astra Serif"/>
          <w:sz w:val="26"/>
          <w:szCs w:val="26"/>
        </w:rPr>
        <w:t>Раздел I. Перечень объектов недвижимости, подлежащих приватизации:</w:t>
      </w:r>
      <w:r>
        <w:rPr>
          <w:rFonts w:ascii="PT Astra Serif" w:hAnsi="PT Astra Serif"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410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19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873A80" w:rsidRPr="00A82282" w:rsidTr="00B37F99">
        <w:trPr>
          <w:trHeight w:val="238"/>
        </w:trPr>
        <w:tc>
          <w:tcPr>
            <w:tcW w:w="675" w:type="dxa"/>
            <w:vAlign w:val="center"/>
          </w:tcPr>
          <w:p w:rsidR="00873A80" w:rsidRPr="00C878C1" w:rsidRDefault="00C65572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873A80" w:rsidRPr="00E23636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873A80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873A80" w:rsidRPr="00E23636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873A80" w:rsidRPr="00E23636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73A80" w:rsidRDefault="00873A80" w:rsidP="00873A80">
      <w:pPr>
        <w:ind w:left="8505"/>
        <w:jc w:val="right"/>
        <w:rPr>
          <w:rFonts w:ascii="PT Astra Serif" w:hAnsi="PT Astra Serif"/>
          <w:sz w:val="26"/>
          <w:szCs w:val="26"/>
          <w:lang w:val="en-US"/>
        </w:rPr>
      </w:pPr>
    </w:p>
    <w:p w:rsidR="00873A80" w:rsidRPr="00A82282" w:rsidRDefault="00873A80" w:rsidP="00873A80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2126"/>
        <w:gridCol w:w="2268"/>
      </w:tblGrid>
      <w:tr w:rsidR="00873A80" w:rsidRPr="00A82282" w:rsidTr="00B37F99">
        <w:tc>
          <w:tcPr>
            <w:tcW w:w="710" w:type="dxa"/>
            <w:vAlign w:val="center"/>
          </w:tcPr>
          <w:p w:rsidR="00873A80" w:rsidRPr="00A82282" w:rsidRDefault="00873A80" w:rsidP="009A5DD7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A45264">
            <w:pPr>
              <w:ind w:right="-102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подлежащих приватизации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B37F99">
            <w:pPr>
              <w:pStyle w:val="af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2488"/>
        </w:trPr>
        <w:tc>
          <w:tcPr>
            <w:tcW w:w="710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Публичное акционерное общество «Сбербанк России».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г. Москва,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ул. Вавилова, д. 19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C65572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ind w:hanging="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B37F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320"/>
        </w:trPr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73A80" w:rsidRPr="00A82282" w:rsidRDefault="00873A80" w:rsidP="00873A80">
      <w:pPr>
        <w:pStyle w:val="af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873A80" w:rsidRPr="00A82282" w:rsidTr="00163F73">
        <w:trPr>
          <w:trHeight w:val="176"/>
        </w:trPr>
        <w:tc>
          <w:tcPr>
            <w:tcW w:w="675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873A80" w:rsidRPr="00A82282" w:rsidRDefault="00C65572" w:rsidP="00C6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B37F99" w:rsidRDefault="00B37F99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033085" w:rsidRDefault="00873A80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6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991AF1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составит </w:t>
      </w:r>
      <w:r w:rsidR="00E22469" w:rsidRPr="00E22469">
        <w:rPr>
          <w:rFonts w:ascii="PT Astra Serif" w:hAnsi="PT Astra Serif"/>
          <w:sz w:val="26"/>
          <w:szCs w:val="26"/>
        </w:rPr>
        <w:t>1</w:t>
      </w:r>
      <w:r w:rsidR="00E22469">
        <w:rPr>
          <w:rFonts w:ascii="PT Astra Serif" w:hAnsi="PT Astra Serif"/>
          <w:sz w:val="26"/>
          <w:szCs w:val="26"/>
          <w:lang w:val="en-US"/>
        </w:rPr>
        <w:t> </w:t>
      </w:r>
      <w:r w:rsidR="00E22469" w:rsidRPr="00E22469">
        <w:rPr>
          <w:rFonts w:ascii="PT Astra Serif" w:hAnsi="PT Astra Serif"/>
          <w:sz w:val="26"/>
          <w:szCs w:val="26"/>
        </w:rPr>
        <w:t>016</w:t>
      </w:r>
      <w:r w:rsidR="00E22469">
        <w:rPr>
          <w:rFonts w:ascii="PT Astra Serif" w:hAnsi="PT Astra Serif"/>
          <w:sz w:val="26"/>
          <w:szCs w:val="26"/>
        </w:rPr>
        <w:t> 040</w:t>
      </w:r>
      <w:r w:rsidR="00E22469" w:rsidRPr="00E22469">
        <w:rPr>
          <w:rFonts w:ascii="PT Astra Serif" w:hAnsi="PT Astra Serif"/>
          <w:sz w:val="26"/>
          <w:szCs w:val="26"/>
        </w:rPr>
        <w:t xml:space="preserve">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, в том числе:    </w:t>
      </w:r>
    </w:p>
    <w:p w:rsidR="00873A80" w:rsidRPr="00A82282" w:rsidRDefault="00873A80" w:rsidP="00873A8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- по разделу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 xml:space="preserve"> прогноз доходов от реализации акций ПАО «Сбербанк России» составит </w:t>
      </w:r>
      <w:r w:rsidR="00E22469" w:rsidRPr="00E22469">
        <w:rPr>
          <w:rFonts w:ascii="PT Astra Serif" w:hAnsi="PT Astra Serif"/>
          <w:sz w:val="26"/>
          <w:szCs w:val="26"/>
        </w:rPr>
        <w:t>1</w:t>
      </w:r>
      <w:r w:rsidR="00E22469">
        <w:rPr>
          <w:rFonts w:ascii="PT Astra Serif" w:hAnsi="PT Astra Serif"/>
          <w:sz w:val="26"/>
          <w:szCs w:val="26"/>
          <w:lang w:val="en-US"/>
        </w:rPr>
        <w:t> </w:t>
      </w:r>
      <w:r w:rsidR="00E22469" w:rsidRPr="00E22469">
        <w:rPr>
          <w:rFonts w:ascii="PT Astra Serif" w:hAnsi="PT Astra Serif"/>
          <w:sz w:val="26"/>
          <w:szCs w:val="26"/>
        </w:rPr>
        <w:t>016</w:t>
      </w:r>
      <w:r w:rsidR="00E22469">
        <w:rPr>
          <w:rFonts w:ascii="PT Astra Serif" w:hAnsi="PT Astra Serif"/>
          <w:sz w:val="26"/>
          <w:szCs w:val="26"/>
        </w:rPr>
        <w:t> 040</w:t>
      </w:r>
      <w:r w:rsidR="00E22469" w:rsidRPr="00E22469">
        <w:rPr>
          <w:rFonts w:ascii="PT Astra Serif" w:hAnsi="PT Astra Serif"/>
          <w:sz w:val="26"/>
          <w:szCs w:val="26"/>
        </w:rPr>
        <w:t xml:space="preserve"> </w:t>
      </w:r>
      <w:r w:rsidR="00E22469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Pr="00A82282">
        <w:rPr>
          <w:rFonts w:ascii="PT Astra Serif" w:hAnsi="PT Astra Serif"/>
          <w:sz w:val="26"/>
          <w:szCs w:val="26"/>
        </w:rPr>
        <w:t>.</w:t>
      </w:r>
    </w:p>
    <w:p w:rsidR="00873A80" w:rsidRPr="00A82282" w:rsidRDefault="00873A80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A551E7" w:rsidRDefault="00873A80" w:rsidP="00873A80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70104" w:rsidRDefault="00170104" w:rsidP="00C96123">
      <w:pPr>
        <w:jc w:val="center"/>
        <w:rPr>
          <w:rFonts w:ascii="PT Astra Serif" w:hAnsi="PT Astra Serif"/>
          <w:b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lastRenderedPageBreak/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7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5536" w:rsidRPr="00A82282" w:rsidRDefault="00175536" w:rsidP="00175536">
      <w:pPr>
        <w:jc w:val="center"/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951533" w:rsidRPr="00A82282" w:rsidTr="00B37F99">
        <w:tc>
          <w:tcPr>
            <w:tcW w:w="675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951533" w:rsidRPr="00A82282" w:rsidTr="00163F73">
        <w:trPr>
          <w:trHeight w:val="306"/>
        </w:trPr>
        <w:tc>
          <w:tcPr>
            <w:tcW w:w="675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75536" w:rsidRDefault="00175536" w:rsidP="00175536">
      <w:pPr>
        <w:ind w:left="-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175536">
      <w:pPr>
        <w:ind w:left="-142"/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BB216B" w:rsidRPr="00A82282" w:rsidTr="00B37F99">
        <w:tc>
          <w:tcPr>
            <w:tcW w:w="710" w:type="dxa"/>
            <w:vAlign w:val="center"/>
          </w:tcPr>
          <w:p w:rsidR="00BB216B" w:rsidRPr="00A82282" w:rsidRDefault="00BB216B" w:rsidP="00EE42AA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BB216B" w:rsidRPr="00A82282" w:rsidRDefault="00BB216B" w:rsidP="00EE42AA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517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BB216B" w:rsidRPr="00A82282" w:rsidRDefault="00B37F99" w:rsidP="00B37F99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BB216B" w:rsidRPr="00A82282" w:rsidTr="00163F73">
        <w:trPr>
          <w:trHeight w:val="307"/>
        </w:trPr>
        <w:tc>
          <w:tcPr>
            <w:tcW w:w="710" w:type="dxa"/>
            <w:vAlign w:val="center"/>
          </w:tcPr>
          <w:p w:rsidR="00BB216B" w:rsidRPr="00A82282" w:rsidRDefault="006B1E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12FF4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112FF4" w:rsidRPr="00A82282" w:rsidTr="00B37F99"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B37F99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163F73">
        <w:trPr>
          <w:trHeight w:val="237"/>
        </w:trPr>
        <w:tc>
          <w:tcPr>
            <w:tcW w:w="67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C51A77" w:rsidRDefault="00C51A77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63F73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5B49E7" w:rsidRPr="00A82282" w:rsidTr="00B37F99">
        <w:tc>
          <w:tcPr>
            <w:tcW w:w="675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112FF4" w:rsidRPr="00A82282" w:rsidTr="00163F73">
        <w:trPr>
          <w:trHeight w:val="268"/>
        </w:trPr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B37F99" w:rsidRDefault="00B37F99" w:rsidP="005D08E1">
      <w:pPr>
        <w:pStyle w:val="af"/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5D08E1" w:rsidRPr="00A82282" w:rsidRDefault="005D08E1" w:rsidP="005D08E1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A45264">
        <w:rPr>
          <w:rFonts w:ascii="PT Astra Serif" w:hAnsi="PT Astra Serif"/>
          <w:sz w:val="26"/>
          <w:szCs w:val="26"/>
        </w:rPr>
        <w:t>7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112FF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. </w:t>
      </w:r>
    </w:p>
    <w:p w:rsidR="00163F73" w:rsidRDefault="00163F73" w:rsidP="00C96123">
      <w:pPr>
        <w:jc w:val="center"/>
        <w:rPr>
          <w:rFonts w:ascii="PT Astra Serif" w:hAnsi="PT Astra Serif"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8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9249A" w:rsidRPr="00A82282" w:rsidRDefault="0019249A" w:rsidP="008624AF">
      <w:pPr>
        <w:jc w:val="center"/>
        <w:rPr>
          <w:rFonts w:ascii="PT Astra Serif" w:hAnsi="PT Astra Serif"/>
          <w:sz w:val="26"/>
          <w:szCs w:val="26"/>
        </w:rPr>
      </w:pPr>
    </w:p>
    <w:p w:rsidR="00163F73" w:rsidRPr="00A82282" w:rsidRDefault="008624AF" w:rsidP="00163F73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C509CF" w:rsidRPr="00A82282" w:rsidTr="00287694">
        <w:tc>
          <w:tcPr>
            <w:tcW w:w="675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C509CF" w:rsidRPr="00A82282" w:rsidTr="00163F73">
        <w:trPr>
          <w:trHeight w:val="223"/>
        </w:trPr>
        <w:tc>
          <w:tcPr>
            <w:tcW w:w="675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9042EE" w:rsidRDefault="009042EE" w:rsidP="008624AF">
      <w:pPr>
        <w:ind w:left="-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8624AF">
      <w:pPr>
        <w:ind w:left="-142"/>
        <w:rPr>
          <w:rFonts w:ascii="PT Astra Serif" w:hAnsi="PT Astra Serif"/>
          <w:sz w:val="26"/>
          <w:szCs w:val="26"/>
        </w:rPr>
      </w:pPr>
    </w:p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8624AF" w:rsidRPr="00A82282" w:rsidTr="00287694">
        <w:tc>
          <w:tcPr>
            <w:tcW w:w="710" w:type="dxa"/>
            <w:vAlign w:val="center"/>
          </w:tcPr>
          <w:p w:rsidR="008624AF" w:rsidRPr="00A82282" w:rsidRDefault="008624AF" w:rsidP="00FA5BD4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624AF" w:rsidRPr="00A82282" w:rsidRDefault="008624AF" w:rsidP="00FA5BD4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517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</w:p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624AF" w:rsidRPr="00A82282" w:rsidTr="00163F73">
        <w:trPr>
          <w:trHeight w:val="311"/>
        </w:trPr>
        <w:tc>
          <w:tcPr>
            <w:tcW w:w="7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2"/>
        <w:gridCol w:w="3685"/>
        <w:gridCol w:w="3119"/>
      </w:tblGrid>
      <w:tr w:rsidR="00112FF4" w:rsidRPr="00A82282" w:rsidTr="00287694"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802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87694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28769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287694">
        <w:trPr>
          <w:trHeight w:val="310"/>
        </w:trPr>
        <w:tc>
          <w:tcPr>
            <w:tcW w:w="567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802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12FF4" w:rsidRDefault="00112FF4" w:rsidP="00112FF4">
      <w:pPr>
        <w:spacing w:line="276" w:lineRule="auto"/>
        <w:ind w:left="-142"/>
        <w:rPr>
          <w:rFonts w:ascii="PT Astra Serif" w:hAnsi="PT Astra Serif"/>
          <w:sz w:val="26"/>
          <w:szCs w:val="26"/>
        </w:rPr>
      </w:pPr>
    </w:p>
    <w:p w:rsidR="00163F73" w:rsidRPr="00A82282" w:rsidRDefault="00163F73" w:rsidP="00112FF4">
      <w:pPr>
        <w:spacing w:line="276" w:lineRule="auto"/>
        <w:ind w:left="-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4111"/>
        <w:gridCol w:w="3119"/>
      </w:tblGrid>
      <w:tr w:rsidR="005B49E7" w:rsidRPr="00A82282" w:rsidTr="00287694">
        <w:tc>
          <w:tcPr>
            <w:tcW w:w="567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376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4111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112FF4" w:rsidRPr="00A82282" w:rsidTr="00287694">
        <w:trPr>
          <w:trHeight w:val="262"/>
        </w:trPr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376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111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</w:p>
    <w:p w:rsidR="00B47C0F" w:rsidRPr="00A82282" w:rsidRDefault="008624AF" w:rsidP="002D499B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8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C6557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.</w:t>
      </w:r>
    </w:p>
    <w:sectPr w:rsidR="00B47C0F" w:rsidRPr="00A82282" w:rsidSect="00A551E7">
      <w:footnotePr>
        <w:pos w:val="beneathText"/>
      </w:footnotePr>
      <w:pgSz w:w="11905" w:h="16837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79" w:rsidRDefault="00AE5079" w:rsidP="00AD2AFF">
      <w:r>
        <w:separator/>
      </w:r>
    </w:p>
  </w:endnote>
  <w:endnote w:type="continuationSeparator" w:id="0">
    <w:p w:rsidR="00AE5079" w:rsidRDefault="00AE5079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79" w:rsidRDefault="00AE5079" w:rsidP="00AD2AFF">
      <w:r>
        <w:separator/>
      </w:r>
    </w:p>
  </w:footnote>
  <w:footnote w:type="continuationSeparator" w:id="0">
    <w:p w:rsidR="00AE5079" w:rsidRDefault="00AE5079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C185F"/>
    <w:rsid w:val="000C2AAD"/>
    <w:rsid w:val="000C4093"/>
    <w:rsid w:val="000D7DDE"/>
    <w:rsid w:val="000E2A2F"/>
    <w:rsid w:val="000E658E"/>
    <w:rsid w:val="000E69DC"/>
    <w:rsid w:val="000F5E0A"/>
    <w:rsid w:val="000F69BD"/>
    <w:rsid w:val="00104BBC"/>
    <w:rsid w:val="00112FF4"/>
    <w:rsid w:val="0011697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D4791"/>
    <w:rsid w:val="001D5FDD"/>
    <w:rsid w:val="001D63C3"/>
    <w:rsid w:val="001E72D7"/>
    <w:rsid w:val="001F03B4"/>
    <w:rsid w:val="00204AE1"/>
    <w:rsid w:val="00205BBA"/>
    <w:rsid w:val="002162B1"/>
    <w:rsid w:val="0022051A"/>
    <w:rsid w:val="0022244D"/>
    <w:rsid w:val="00226DA2"/>
    <w:rsid w:val="002302E9"/>
    <w:rsid w:val="002371B7"/>
    <w:rsid w:val="00241912"/>
    <w:rsid w:val="002506C3"/>
    <w:rsid w:val="00275AA9"/>
    <w:rsid w:val="00287694"/>
    <w:rsid w:val="0029628A"/>
    <w:rsid w:val="002975C0"/>
    <w:rsid w:val="002A1196"/>
    <w:rsid w:val="002A7CE9"/>
    <w:rsid w:val="002B5EC8"/>
    <w:rsid w:val="002C6367"/>
    <w:rsid w:val="002D0766"/>
    <w:rsid w:val="002D0FC3"/>
    <w:rsid w:val="002D498D"/>
    <w:rsid w:val="002D499B"/>
    <w:rsid w:val="002D535F"/>
    <w:rsid w:val="002E0CD6"/>
    <w:rsid w:val="002E2833"/>
    <w:rsid w:val="002E572A"/>
    <w:rsid w:val="00336284"/>
    <w:rsid w:val="003375FA"/>
    <w:rsid w:val="00341930"/>
    <w:rsid w:val="0034479B"/>
    <w:rsid w:val="003612D5"/>
    <w:rsid w:val="00371780"/>
    <w:rsid w:val="00376D3D"/>
    <w:rsid w:val="00376E9F"/>
    <w:rsid w:val="00380B3A"/>
    <w:rsid w:val="0038562D"/>
    <w:rsid w:val="00390FA2"/>
    <w:rsid w:val="003A19F1"/>
    <w:rsid w:val="003B16E8"/>
    <w:rsid w:val="003C0FE6"/>
    <w:rsid w:val="003C1F6B"/>
    <w:rsid w:val="003C673C"/>
    <w:rsid w:val="003C77C4"/>
    <w:rsid w:val="003E702B"/>
    <w:rsid w:val="003F0C63"/>
    <w:rsid w:val="003F4022"/>
    <w:rsid w:val="004007AF"/>
    <w:rsid w:val="004038F2"/>
    <w:rsid w:val="00411BB3"/>
    <w:rsid w:val="004173B7"/>
    <w:rsid w:val="00453B49"/>
    <w:rsid w:val="00456D37"/>
    <w:rsid w:val="00474323"/>
    <w:rsid w:val="00475A59"/>
    <w:rsid w:val="004A29EB"/>
    <w:rsid w:val="004A5D36"/>
    <w:rsid w:val="004B55B5"/>
    <w:rsid w:val="004B637F"/>
    <w:rsid w:val="004D1735"/>
    <w:rsid w:val="004D1A3B"/>
    <w:rsid w:val="004E3ECD"/>
    <w:rsid w:val="004E43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72130"/>
    <w:rsid w:val="005815E0"/>
    <w:rsid w:val="00593632"/>
    <w:rsid w:val="00596668"/>
    <w:rsid w:val="005A5BD7"/>
    <w:rsid w:val="005A6BC7"/>
    <w:rsid w:val="005A6C7D"/>
    <w:rsid w:val="005B36D9"/>
    <w:rsid w:val="005B491F"/>
    <w:rsid w:val="005B49E7"/>
    <w:rsid w:val="005D08E1"/>
    <w:rsid w:val="005D2523"/>
    <w:rsid w:val="005D5A4C"/>
    <w:rsid w:val="005E44C8"/>
    <w:rsid w:val="005E4B52"/>
    <w:rsid w:val="005E7453"/>
    <w:rsid w:val="005F3A4C"/>
    <w:rsid w:val="00601B46"/>
    <w:rsid w:val="006028F5"/>
    <w:rsid w:val="006047D6"/>
    <w:rsid w:val="0062021A"/>
    <w:rsid w:val="00624394"/>
    <w:rsid w:val="00637B97"/>
    <w:rsid w:val="00640385"/>
    <w:rsid w:val="00651F71"/>
    <w:rsid w:val="00652EB0"/>
    <w:rsid w:val="006578CD"/>
    <w:rsid w:val="006606B9"/>
    <w:rsid w:val="0066714C"/>
    <w:rsid w:val="00685C09"/>
    <w:rsid w:val="006A00B8"/>
    <w:rsid w:val="006A1937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D4506"/>
    <w:rsid w:val="006D68C0"/>
    <w:rsid w:val="006F0129"/>
    <w:rsid w:val="0070207C"/>
    <w:rsid w:val="0070232E"/>
    <w:rsid w:val="007324C4"/>
    <w:rsid w:val="00746B56"/>
    <w:rsid w:val="007503B5"/>
    <w:rsid w:val="00751E29"/>
    <w:rsid w:val="007731EB"/>
    <w:rsid w:val="007852D3"/>
    <w:rsid w:val="007877DB"/>
    <w:rsid w:val="00793F97"/>
    <w:rsid w:val="00794E5D"/>
    <w:rsid w:val="007A106A"/>
    <w:rsid w:val="007B35F3"/>
    <w:rsid w:val="007C19F0"/>
    <w:rsid w:val="007C3297"/>
    <w:rsid w:val="007C4100"/>
    <w:rsid w:val="007C6BBA"/>
    <w:rsid w:val="007E1503"/>
    <w:rsid w:val="007E1C4A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993"/>
    <w:rsid w:val="00842611"/>
    <w:rsid w:val="008447ED"/>
    <w:rsid w:val="0085615E"/>
    <w:rsid w:val="00860EF4"/>
    <w:rsid w:val="00861BA0"/>
    <w:rsid w:val="00861D58"/>
    <w:rsid w:val="008624AF"/>
    <w:rsid w:val="008679B2"/>
    <w:rsid w:val="00873A80"/>
    <w:rsid w:val="0088752D"/>
    <w:rsid w:val="00890FE4"/>
    <w:rsid w:val="008928F0"/>
    <w:rsid w:val="00895078"/>
    <w:rsid w:val="00895ABA"/>
    <w:rsid w:val="008A0169"/>
    <w:rsid w:val="008A1D32"/>
    <w:rsid w:val="008A242E"/>
    <w:rsid w:val="008A4554"/>
    <w:rsid w:val="008A7120"/>
    <w:rsid w:val="008B623A"/>
    <w:rsid w:val="008C23A0"/>
    <w:rsid w:val="008C300D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797E"/>
    <w:rsid w:val="00950202"/>
    <w:rsid w:val="00950560"/>
    <w:rsid w:val="00951533"/>
    <w:rsid w:val="009533BE"/>
    <w:rsid w:val="009573FB"/>
    <w:rsid w:val="00965F77"/>
    <w:rsid w:val="00972D8F"/>
    <w:rsid w:val="00985692"/>
    <w:rsid w:val="0099169B"/>
    <w:rsid w:val="009A107B"/>
    <w:rsid w:val="009A26C2"/>
    <w:rsid w:val="009A5C77"/>
    <w:rsid w:val="009A5DD7"/>
    <w:rsid w:val="009B11EA"/>
    <w:rsid w:val="009B41C6"/>
    <w:rsid w:val="009B777B"/>
    <w:rsid w:val="009C2A5A"/>
    <w:rsid w:val="009E2689"/>
    <w:rsid w:val="009E6308"/>
    <w:rsid w:val="009E7F2F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33A5E"/>
    <w:rsid w:val="00A35E89"/>
    <w:rsid w:val="00A37BEE"/>
    <w:rsid w:val="00A45264"/>
    <w:rsid w:val="00A466C5"/>
    <w:rsid w:val="00A47F7F"/>
    <w:rsid w:val="00A551E7"/>
    <w:rsid w:val="00A618EB"/>
    <w:rsid w:val="00A7475A"/>
    <w:rsid w:val="00A82282"/>
    <w:rsid w:val="00A967BB"/>
    <w:rsid w:val="00AA1036"/>
    <w:rsid w:val="00AA5098"/>
    <w:rsid w:val="00AC07A3"/>
    <w:rsid w:val="00AC0BA0"/>
    <w:rsid w:val="00AD122C"/>
    <w:rsid w:val="00AD2AFF"/>
    <w:rsid w:val="00AD701A"/>
    <w:rsid w:val="00AD77B3"/>
    <w:rsid w:val="00AE505A"/>
    <w:rsid w:val="00AE5079"/>
    <w:rsid w:val="00AF1383"/>
    <w:rsid w:val="00AF5B2D"/>
    <w:rsid w:val="00B05B30"/>
    <w:rsid w:val="00B14CB1"/>
    <w:rsid w:val="00B245C5"/>
    <w:rsid w:val="00B27ED9"/>
    <w:rsid w:val="00B31E32"/>
    <w:rsid w:val="00B344B0"/>
    <w:rsid w:val="00B3669D"/>
    <w:rsid w:val="00B37F99"/>
    <w:rsid w:val="00B45DC5"/>
    <w:rsid w:val="00B47C0F"/>
    <w:rsid w:val="00B60D27"/>
    <w:rsid w:val="00B62358"/>
    <w:rsid w:val="00B63236"/>
    <w:rsid w:val="00B741DE"/>
    <w:rsid w:val="00B81424"/>
    <w:rsid w:val="00B93A2F"/>
    <w:rsid w:val="00B96C07"/>
    <w:rsid w:val="00B96FE1"/>
    <w:rsid w:val="00BA401D"/>
    <w:rsid w:val="00BA418E"/>
    <w:rsid w:val="00BA6CDC"/>
    <w:rsid w:val="00BB216B"/>
    <w:rsid w:val="00BC468B"/>
    <w:rsid w:val="00BC7507"/>
    <w:rsid w:val="00BD38CE"/>
    <w:rsid w:val="00BD3CD1"/>
    <w:rsid w:val="00BE7A52"/>
    <w:rsid w:val="00BF5AB1"/>
    <w:rsid w:val="00BF77F1"/>
    <w:rsid w:val="00C064FF"/>
    <w:rsid w:val="00C07D67"/>
    <w:rsid w:val="00C07E0D"/>
    <w:rsid w:val="00C1162F"/>
    <w:rsid w:val="00C1334D"/>
    <w:rsid w:val="00C30A07"/>
    <w:rsid w:val="00C35B75"/>
    <w:rsid w:val="00C35D3E"/>
    <w:rsid w:val="00C471C7"/>
    <w:rsid w:val="00C509CF"/>
    <w:rsid w:val="00C51A77"/>
    <w:rsid w:val="00C606B4"/>
    <w:rsid w:val="00C64FEA"/>
    <w:rsid w:val="00C65572"/>
    <w:rsid w:val="00C71934"/>
    <w:rsid w:val="00C85BBF"/>
    <w:rsid w:val="00C87001"/>
    <w:rsid w:val="00C878C1"/>
    <w:rsid w:val="00C96123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2563E"/>
    <w:rsid w:val="00D27500"/>
    <w:rsid w:val="00D35E4C"/>
    <w:rsid w:val="00D40191"/>
    <w:rsid w:val="00D401F5"/>
    <w:rsid w:val="00D50EC1"/>
    <w:rsid w:val="00D52D71"/>
    <w:rsid w:val="00D57431"/>
    <w:rsid w:val="00D707D6"/>
    <w:rsid w:val="00D74220"/>
    <w:rsid w:val="00D749A3"/>
    <w:rsid w:val="00D779BA"/>
    <w:rsid w:val="00D80FD9"/>
    <w:rsid w:val="00D86502"/>
    <w:rsid w:val="00DA2A79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62F74"/>
    <w:rsid w:val="00E67BBB"/>
    <w:rsid w:val="00E93036"/>
    <w:rsid w:val="00E9692C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CC4"/>
    <w:rsid w:val="00F0018E"/>
    <w:rsid w:val="00F0188C"/>
    <w:rsid w:val="00F119E2"/>
    <w:rsid w:val="00F23A3E"/>
    <w:rsid w:val="00F27943"/>
    <w:rsid w:val="00F3355F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5038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3E01-620A-4B5F-AF8D-1C15CAEE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Шакирова Анна Игоревна</cp:lastModifiedBy>
  <cp:revision>2</cp:revision>
  <cp:lastPrinted>2025-10-01T05:41:00Z</cp:lastPrinted>
  <dcterms:created xsi:type="dcterms:W3CDTF">2025-12-16T06:57:00Z</dcterms:created>
  <dcterms:modified xsi:type="dcterms:W3CDTF">2025-12-16T06:57:00Z</dcterms:modified>
</cp:coreProperties>
</file>